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0" w:rsidRPr="00FE4743" w:rsidRDefault="00564AA0" w:rsidP="00564AA0">
      <w:pPr>
        <w:jc w:val="center"/>
        <w:rPr>
          <w:sz w:val="28"/>
          <w:szCs w:val="28"/>
        </w:rPr>
      </w:pPr>
      <w:r w:rsidRPr="00FE4743">
        <w:rPr>
          <w:sz w:val="28"/>
          <w:szCs w:val="28"/>
        </w:rPr>
        <w:t xml:space="preserve">ДОПОЛНИТЕЛЬНОЕ СОГЛАШЕНИЕ </w:t>
      </w:r>
    </w:p>
    <w:p w:rsidR="00564AA0" w:rsidRPr="00FE4743" w:rsidRDefault="00564AA0" w:rsidP="00564AA0">
      <w:pPr>
        <w:jc w:val="center"/>
        <w:rPr>
          <w:sz w:val="28"/>
          <w:szCs w:val="28"/>
        </w:rPr>
      </w:pPr>
      <w:r w:rsidRPr="00FE4743">
        <w:rPr>
          <w:sz w:val="28"/>
          <w:szCs w:val="28"/>
        </w:rPr>
        <w:t xml:space="preserve">на оказание погрузочно-разгрузочных услуг к Договору </w:t>
      </w:r>
    </w:p>
    <w:p w:rsidR="00564AA0" w:rsidRPr="00FE4743" w:rsidRDefault="00564AA0" w:rsidP="00564AA0">
      <w:pPr>
        <w:jc w:val="center"/>
        <w:rPr>
          <w:sz w:val="28"/>
          <w:szCs w:val="28"/>
        </w:rPr>
      </w:pPr>
      <w:r w:rsidRPr="00FE4743">
        <w:rPr>
          <w:sz w:val="28"/>
          <w:szCs w:val="28"/>
        </w:rPr>
        <w:t>об организации комплекс</w:t>
      </w:r>
      <w:r w:rsidR="0081443F">
        <w:rPr>
          <w:sz w:val="28"/>
          <w:szCs w:val="28"/>
        </w:rPr>
        <w:t>ного транспортного обслуживания</w:t>
      </w:r>
    </w:p>
    <w:p w:rsidR="00564AA0" w:rsidRPr="00FE4743" w:rsidRDefault="00564AA0" w:rsidP="005F59B7">
      <w:pPr>
        <w:pStyle w:val="FR1"/>
        <w:ind w:left="0"/>
        <w:jc w:val="center"/>
        <w:rPr>
          <w:b w:val="0"/>
          <w:i/>
          <w:sz w:val="28"/>
          <w:szCs w:val="28"/>
          <w:u w:val="single"/>
        </w:rPr>
      </w:pPr>
      <w:r w:rsidRPr="00FE4743">
        <w:rPr>
          <w:b w:val="0"/>
          <w:sz w:val="28"/>
          <w:szCs w:val="28"/>
        </w:rPr>
        <w:t>от «_____»______________ 20___г. № __________________</w:t>
      </w:r>
    </w:p>
    <w:p w:rsidR="00564AA0" w:rsidRPr="00FE4743" w:rsidRDefault="00564AA0" w:rsidP="00564AA0">
      <w:pPr>
        <w:pStyle w:val="FR1"/>
        <w:tabs>
          <w:tab w:val="left" w:pos="8277"/>
        </w:tabs>
        <w:ind w:left="0"/>
        <w:jc w:val="both"/>
        <w:rPr>
          <w:b w:val="0"/>
          <w:sz w:val="28"/>
          <w:szCs w:val="28"/>
        </w:rPr>
      </w:pPr>
      <w:r w:rsidRPr="00FE4743">
        <w:rPr>
          <w:b w:val="0"/>
          <w:sz w:val="28"/>
          <w:szCs w:val="28"/>
        </w:rPr>
        <w:tab/>
      </w:r>
    </w:p>
    <w:p w:rsidR="00564AA0" w:rsidRPr="00FE4743" w:rsidRDefault="00564AA0" w:rsidP="00564AA0">
      <w:pPr>
        <w:pStyle w:val="FR1"/>
        <w:ind w:left="0" w:firstLine="180"/>
        <w:jc w:val="both"/>
        <w:rPr>
          <w:sz w:val="28"/>
          <w:szCs w:val="28"/>
        </w:rPr>
      </w:pPr>
      <w:r w:rsidRPr="00FE4743">
        <w:rPr>
          <w:b w:val="0"/>
          <w:sz w:val="28"/>
          <w:szCs w:val="28"/>
        </w:rPr>
        <w:t>«_____» ______________20___</w:t>
      </w:r>
      <w:r w:rsidR="0098244D" w:rsidRPr="00FE4743">
        <w:rPr>
          <w:b w:val="0"/>
          <w:sz w:val="28"/>
          <w:szCs w:val="28"/>
        </w:rPr>
        <w:t>г.</w:t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="0098244D" w:rsidRPr="00FE4743">
        <w:rPr>
          <w:b w:val="0"/>
          <w:sz w:val="28"/>
          <w:szCs w:val="28"/>
        </w:rPr>
        <w:tab/>
      </w:r>
      <w:r w:rsidRPr="00FE4743">
        <w:rPr>
          <w:b w:val="0"/>
          <w:sz w:val="28"/>
          <w:szCs w:val="28"/>
        </w:rPr>
        <w:t>г. Брест</w:t>
      </w:r>
    </w:p>
    <w:p w:rsidR="00564AA0" w:rsidRPr="00FE4743" w:rsidRDefault="00564AA0" w:rsidP="00564AA0">
      <w:pPr>
        <w:pStyle w:val="FR1"/>
        <w:ind w:left="0"/>
        <w:jc w:val="both"/>
        <w:rPr>
          <w:sz w:val="28"/>
          <w:szCs w:val="28"/>
        </w:rPr>
      </w:pP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 xml:space="preserve">Транспортное республиканское унитарное предприятие «Брестское отделение Белорусской железной дороги», именуемое в дальнейшем Отделение, в лице ______________________________________________, </w:t>
      </w:r>
      <w:proofErr w:type="gramStart"/>
      <w:r w:rsidRPr="00FE4743">
        <w:rPr>
          <w:sz w:val="28"/>
          <w:szCs w:val="28"/>
        </w:rPr>
        <w:t>действующего</w:t>
      </w:r>
      <w:proofErr w:type="gramEnd"/>
      <w:r w:rsidRPr="00FE4743">
        <w:rPr>
          <w:sz w:val="28"/>
          <w:szCs w:val="28"/>
        </w:rPr>
        <w:t xml:space="preserve"> на </w:t>
      </w:r>
      <w:proofErr w:type="spellStart"/>
      <w:r w:rsidRPr="00FE4743">
        <w:rPr>
          <w:sz w:val="28"/>
          <w:szCs w:val="28"/>
        </w:rPr>
        <w:t>основании__________________________________________</w:t>
      </w:r>
      <w:proofErr w:type="spellEnd"/>
      <w:r w:rsidRPr="00FE4743">
        <w:rPr>
          <w:sz w:val="28"/>
          <w:szCs w:val="28"/>
        </w:rPr>
        <w:t xml:space="preserve">, с одной стороны и _________________________ именуемое в дальнейшем Клиент, в </w:t>
      </w:r>
      <w:proofErr w:type="spellStart"/>
      <w:r w:rsidRPr="00FE4743">
        <w:rPr>
          <w:sz w:val="28"/>
          <w:szCs w:val="28"/>
        </w:rPr>
        <w:t>лице_________________________________________</w:t>
      </w:r>
      <w:proofErr w:type="spellEnd"/>
      <w:r w:rsidRPr="00FE4743">
        <w:rPr>
          <w:sz w:val="28"/>
          <w:szCs w:val="28"/>
        </w:rPr>
        <w:t>, действующего на основании ___________________________________________, с другой стороны, вместе именуемые – Стороны, заключили настоящее дополнительное соглашение о нижеследующем: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1. Отделение своими силами и средствами оказывает Клиенту погрузочно-разгрузочные услуги (погрузка, выгрузка, перегрузка по вариантам: «вагон-автомобиль», «автомобиль-вагон», «вагон-вагон» (далее – прямой вариант) в местах общего пользования (</w:t>
      </w:r>
      <w:proofErr w:type="spellStart"/>
      <w:r w:rsidRPr="00FE4743">
        <w:rPr>
          <w:sz w:val="28"/>
          <w:szCs w:val="28"/>
        </w:rPr>
        <w:t>далее-МОП</w:t>
      </w:r>
      <w:proofErr w:type="spellEnd"/>
      <w:r w:rsidRPr="00FE4743">
        <w:rPr>
          <w:sz w:val="28"/>
          <w:szCs w:val="28"/>
        </w:rPr>
        <w:t>) на станции____________________</w:t>
      </w:r>
      <w:r w:rsidR="0098244D" w:rsidRPr="00FE4743">
        <w:rPr>
          <w:sz w:val="28"/>
          <w:szCs w:val="28"/>
        </w:rPr>
        <w:t>_______</w:t>
      </w:r>
      <w:r w:rsidRPr="00FE4743">
        <w:rPr>
          <w:sz w:val="28"/>
          <w:szCs w:val="28"/>
        </w:rPr>
        <w:t xml:space="preserve"> РУП «Брестское отделение Бел</w:t>
      </w:r>
      <w:proofErr w:type="gramStart"/>
      <w:r w:rsidRPr="00FE4743">
        <w:rPr>
          <w:sz w:val="28"/>
          <w:szCs w:val="28"/>
        </w:rPr>
        <w:t>.</w:t>
      </w:r>
      <w:proofErr w:type="gramEnd"/>
      <w:r w:rsidRPr="00FE4743">
        <w:rPr>
          <w:sz w:val="28"/>
          <w:szCs w:val="28"/>
        </w:rPr>
        <w:t xml:space="preserve"> </w:t>
      </w:r>
      <w:proofErr w:type="gramStart"/>
      <w:r w:rsidRPr="00FE4743">
        <w:rPr>
          <w:sz w:val="28"/>
          <w:szCs w:val="28"/>
        </w:rPr>
        <w:t>ж</w:t>
      </w:r>
      <w:proofErr w:type="gramEnd"/>
      <w:r w:rsidRPr="00FE4743">
        <w:rPr>
          <w:sz w:val="28"/>
          <w:szCs w:val="28"/>
        </w:rPr>
        <w:t>. д.», в соответствии с техническими возможностями имеющихся погр</w:t>
      </w:r>
      <w:r w:rsidR="0081443F">
        <w:rPr>
          <w:sz w:val="28"/>
          <w:szCs w:val="28"/>
        </w:rPr>
        <w:t>узочно-разгрузочных механизмов:</w:t>
      </w:r>
    </w:p>
    <w:p w:rsidR="00564AA0" w:rsidRPr="00FE4743" w:rsidRDefault="00564AA0" w:rsidP="00564AA0">
      <w:pPr>
        <w:jc w:val="both"/>
        <w:rPr>
          <w:sz w:val="28"/>
          <w:szCs w:val="28"/>
        </w:rPr>
      </w:pPr>
      <w:r w:rsidRPr="00FE4743">
        <w:rPr>
          <w:sz w:val="28"/>
          <w:szCs w:val="28"/>
        </w:rPr>
        <w:t>-максимальная грузоподъемность механизм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(в тоннах) ___________________________________________________________________,</w:t>
      </w:r>
    </w:p>
    <w:p w:rsidR="00564AA0" w:rsidRPr="00FE4743" w:rsidRDefault="00564AA0" w:rsidP="00564AA0">
      <w:pPr>
        <w:jc w:val="center"/>
        <w:rPr>
          <w:sz w:val="28"/>
          <w:szCs w:val="28"/>
        </w:rPr>
      </w:pPr>
      <w:r w:rsidRPr="00FE4743">
        <w:rPr>
          <w:sz w:val="28"/>
          <w:szCs w:val="28"/>
        </w:rPr>
        <w:t>(указываются механизмы, используемые для оказания услуги)</w:t>
      </w:r>
    </w:p>
    <w:p w:rsidR="00564AA0" w:rsidRPr="00FE4743" w:rsidRDefault="00564AA0" w:rsidP="00564AA0">
      <w:pPr>
        <w:jc w:val="both"/>
        <w:rPr>
          <w:sz w:val="28"/>
          <w:szCs w:val="28"/>
        </w:rPr>
      </w:pPr>
      <w:r w:rsidRPr="00FE4743">
        <w:rPr>
          <w:sz w:val="28"/>
          <w:szCs w:val="28"/>
        </w:rPr>
        <w:t>- наибольшая длина перерабатываемого груза (в метрах)___________________,</w:t>
      </w:r>
    </w:p>
    <w:p w:rsidR="00564AA0" w:rsidRPr="00FE4743" w:rsidRDefault="00564AA0" w:rsidP="00564AA0">
      <w:pPr>
        <w:jc w:val="both"/>
        <w:rPr>
          <w:sz w:val="28"/>
          <w:szCs w:val="28"/>
        </w:rPr>
      </w:pPr>
      <w:r w:rsidRPr="00FE4743">
        <w:rPr>
          <w:sz w:val="28"/>
          <w:szCs w:val="28"/>
        </w:rPr>
        <w:t>за исключением грузов: опасных, насыпных (навалочных), перевозимых в вагонах-цистернах и цементовозах.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 xml:space="preserve">Услуги Клиенту оказываются согласно графику работы производственных участков, погрузочных пунктов филиала отделения </w:t>
      </w:r>
      <w:proofErr w:type="spellStart"/>
      <w:r w:rsidRPr="00FE4743">
        <w:rPr>
          <w:sz w:val="28"/>
          <w:szCs w:val="28"/>
        </w:rPr>
        <w:t>Брестгрузтранслогистик</w:t>
      </w:r>
      <w:proofErr w:type="spellEnd"/>
      <w:r w:rsidRPr="00FE4743">
        <w:rPr>
          <w:sz w:val="28"/>
          <w:szCs w:val="28"/>
        </w:rPr>
        <w:t xml:space="preserve"> (далее – БГТЛ), который размещается на информационном</w:t>
      </w:r>
      <w:r w:rsidR="006307D5" w:rsidRPr="00FE4743">
        <w:rPr>
          <w:sz w:val="28"/>
          <w:szCs w:val="28"/>
        </w:rPr>
        <w:t xml:space="preserve"> стенде станции оказания услуг.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2. Настоящее дополнительное соглашение является неотъемлемой частью Договора об организации комплексного транспортного обслуживания (далее – Договор). Стоимость услуг и порядок расчетов по настоящему дополнительному соглашению осуществляется в соответствии с Договором.</w:t>
      </w:r>
      <w:r w:rsidR="005F59B7" w:rsidRPr="00FE4743">
        <w:rPr>
          <w:sz w:val="28"/>
          <w:szCs w:val="28"/>
        </w:rPr>
        <w:t xml:space="preserve"> По фактически оказанным услугам БГТЛ (УНП  200246571) на основании данных накопительных карточек формы ФДУ-92, по кодам плат с 800 по 899, формирует для Клиента электронные счета-фактуры согласно</w:t>
      </w:r>
      <w:r w:rsidR="006307D5" w:rsidRPr="00FE4743">
        <w:rPr>
          <w:sz w:val="28"/>
          <w:szCs w:val="28"/>
        </w:rPr>
        <w:t xml:space="preserve"> действующему законодательству.</w:t>
      </w:r>
    </w:p>
    <w:p w:rsidR="00564AA0" w:rsidRPr="00FE4743" w:rsidRDefault="00564AA0" w:rsidP="003A1279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 xml:space="preserve">3. За время задержки выполнения грузовых операций с грузами по вине Клиента (не предоставление автотранспорта для вывоза груза по варианту «вагон-автомобиль», несвоевременный подвоз груза на МОП, занятость площадок ранее выгруженным грузом Клиента, отсутствие представителя </w:t>
      </w:r>
      <w:r w:rsidRPr="00FE4743">
        <w:rPr>
          <w:sz w:val="28"/>
          <w:szCs w:val="28"/>
        </w:rPr>
        <w:lastRenderedPageBreak/>
        <w:t>Клиента для приема и сдачи груза и др.) Клиен</w:t>
      </w:r>
      <w:r w:rsidR="003A1279">
        <w:rPr>
          <w:sz w:val="28"/>
          <w:szCs w:val="28"/>
        </w:rPr>
        <w:t xml:space="preserve">т уплачивает Отделению плату за </w:t>
      </w:r>
      <w:r w:rsidRPr="00FE4743">
        <w:rPr>
          <w:sz w:val="28"/>
          <w:szCs w:val="28"/>
        </w:rPr>
        <w:t>пользование вагоно</w:t>
      </w:r>
      <w:proofErr w:type="gramStart"/>
      <w:r w:rsidRPr="00FE4743">
        <w:rPr>
          <w:sz w:val="28"/>
          <w:szCs w:val="28"/>
        </w:rPr>
        <w:t>м(</w:t>
      </w:r>
      <w:proofErr w:type="spellStart"/>
      <w:proofErr w:type="gramEnd"/>
      <w:r w:rsidRPr="00FE4743">
        <w:rPr>
          <w:sz w:val="28"/>
          <w:szCs w:val="28"/>
        </w:rPr>
        <w:t>ами</w:t>
      </w:r>
      <w:proofErr w:type="spellEnd"/>
      <w:r w:rsidRPr="00FE4743">
        <w:rPr>
          <w:sz w:val="28"/>
          <w:szCs w:val="28"/>
        </w:rPr>
        <w:t>) с момента возникновения причины задержки до момента ее устранения. На задержку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работником станции оказания услуг составляется акт общей формы. Акт общей формы со стороны Отделения подписывается работником станции оказания услуг и работником БГТЛ, со стороны Клиента – его уполномоченным представителем. Плата за хранение груза в вагоне начисляется порядком, установленным действующим законодательством Республики Беларусь.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4. Особые условия оказания услуг: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 xml:space="preserve">4.1. </w:t>
      </w:r>
      <w:proofErr w:type="gramStart"/>
      <w:r w:rsidRPr="00FE4743">
        <w:rPr>
          <w:sz w:val="28"/>
          <w:szCs w:val="28"/>
        </w:rPr>
        <w:t>Необходимые для погрузки, крепления и перевозки груза</w:t>
      </w:r>
      <w:r w:rsidR="0081443F">
        <w:rPr>
          <w:sz w:val="28"/>
          <w:szCs w:val="28"/>
        </w:rPr>
        <w:t xml:space="preserve">, реквизиты </w:t>
      </w:r>
      <w:r w:rsidRPr="00FE4743">
        <w:rPr>
          <w:sz w:val="28"/>
          <w:szCs w:val="28"/>
        </w:rPr>
        <w:t xml:space="preserve">(стойки, подкладки, прокладки, проволока, гвозди и т.п.) предоставляются Клиентом (грузоотправителем) в МОП станции оказания услуг. </w:t>
      </w:r>
      <w:proofErr w:type="gramEnd"/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4.2. Клиент самостоятельно, своими силами и средствами, осуществляет подготовительные операции (работы), обеспечивающие возможность выгрузки смерзшихся, слежавшихся или прибывших в неисправной таре грузов. За время задержки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под подготовительными операциями, выполняемыми Клиентом для осуществления выгрузки грузов (рыхление, укладка рассыпавшего, развалившегося груза и др.), а также очистки вагона(</w:t>
      </w:r>
      <w:proofErr w:type="spellStart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после выгрузки, Клиенту начисляется плата за пользование вагоном(</w:t>
      </w:r>
      <w:proofErr w:type="spellStart"/>
      <w:r w:rsidRPr="00FE4743">
        <w:rPr>
          <w:sz w:val="28"/>
          <w:szCs w:val="28"/>
        </w:rPr>
        <w:t>ами</w:t>
      </w:r>
      <w:proofErr w:type="spellEnd"/>
      <w:r w:rsidRPr="00FE4743">
        <w:rPr>
          <w:sz w:val="28"/>
          <w:szCs w:val="28"/>
        </w:rPr>
        <w:t>) и хранение груза в вагоне(ах) порядком, установленным в соответствии с действующим законодательством Республики Беларусь. На задержку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работником станции оказания услуг составляется акт общей формы. Акт общей формы со стороны Отделения подписывается работником станции оказания услуг и работником БГТЛ, со стороны Клиента – его уполномоченным представителем. Информацию о вагон</w:t>
      </w:r>
      <w:proofErr w:type="gramStart"/>
      <w:r w:rsidRPr="00FE4743">
        <w:rPr>
          <w:sz w:val="28"/>
          <w:szCs w:val="28"/>
        </w:rPr>
        <w:t>е(</w:t>
      </w:r>
      <w:proofErr w:type="gramEnd"/>
      <w:r w:rsidRPr="00FE4743">
        <w:rPr>
          <w:sz w:val="28"/>
          <w:szCs w:val="28"/>
        </w:rPr>
        <w:t>ах) поданном(</w:t>
      </w:r>
      <w:proofErr w:type="spellStart"/>
      <w:r w:rsidRPr="00FE4743">
        <w:rPr>
          <w:sz w:val="28"/>
          <w:szCs w:val="28"/>
        </w:rPr>
        <w:t>ых</w:t>
      </w:r>
      <w:proofErr w:type="spellEnd"/>
      <w:r w:rsidRPr="00FE4743">
        <w:rPr>
          <w:sz w:val="28"/>
          <w:szCs w:val="28"/>
        </w:rPr>
        <w:t>) под выгрузку со смерзшимся, слежавшимся или прибывшем в неисправной таре грузом, требующем(их) выполнения подготовительных операций (работ), работнику станции оказания услуг передает уполномоченный работник БГТЛ. Информирование Клиента о поданно</w:t>
      </w:r>
      <w:proofErr w:type="gramStart"/>
      <w:r w:rsidRPr="00FE4743">
        <w:rPr>
          <w:sz w:val="28"/>
          <w:szCs w:val="28"/>
        </w:rPr>
        <w:t>м(</w:t>
      </w:r>
      <w:proofErr w:type="spellStart"/>
      <w:proofErr w:type="gramEnd"/>
      <w:r w:rsidRPr="00FE4743">
        <w:rPr>
          <w:sz w:val="28"/>
          <w:szCs w:val="28"/>
        </w:rPr>
        <w:t>ых</w:t>
      </w:r>
      <w:proofErr w:type="spellEnd"/>
      <w:r w:rsidRPr="00FE4743">
        <w:rPr>
          <w:sz w:val="28"/>
          <w:szCs w:val="28"/>
        </w:rPr>
        <w:t>) под выгрузку вагоне(ах) со смерзшимся грузом, слежавшимся или прибывшем в неисправной таре грузом в его адрес, осуществляет работник станции оказания услуг. Задержка исчисляется с момента уведомления Клиента об обнаружении в поданно</w:t>
      </w:r>
      <w:proofErr w:type="gramStart"/>
      <w:r w:rsidRPr="00FE4743">
        <w:rPr>
          <w:sz w:val="28"/>
          <w:szCs w:val="28"/>
        </w:rPr>
        <w:t>м(</w:t>
      </w:r>
      <w:proofErr w:type="spellStart"/>
      <w:proofErr w:type="gramEnd"/>
      <w:r w:rsidRPr="00FE4743">
        <w:rPr>
          <w:sz w:val="28"/>
          <w:szCs w:val="28"/>
        </w:rPr>
        <w:t>ых</w:t>
      </w:r>
      <w:proofErr w:type="spellEnd"/>
      <w:r w:rsidRPr="00FE4743">
        <w:rPr>
          <w:sz w:val="28"/>
          <w:szCs w:val="28"/>
        </w:rPr>
        <w:t>) под выгрузку вагоне(ах) с вышеуказанным грузом.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4.3. Отделение, по письменному заявлению Клиента, может оказывать услуги по подготовке к выгрузке из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грузов, слежавшихся или прибывших в неисправной таре, а также рыхление, укладку рассыпавшегося, развалившегося груза, очистку вагона(</w:t>
      </w:r>
      <w:proofErr w:type="spellStart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после выгрузки. Стоимость услуг определяется по согласованию сторон. За время задержки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>) под выполнением данных услуг Клиенту начисляется плата за пользование вагоном(</w:t>
      </w:r>
      <w:proofErr w:type="spellStart"/>
      <w:r w:rsidRPr="00FE4743">
        <w:rPr>
          <w:sz w:val="28"/>
          <w:szCs w:val="28"/>
        </w:rPr>
        <w:t>ами</w:t>
      </w:r>
      <w:proofErr w:type="spellEnd"/>
      <w:r w:rsidRPr="00FE4743">
        <w:rPr>
          <w:sz w:val="28"/>
          <w:szCs w:val="28"/>
        </w:rPr>
        <w:t>) и хранение груза в вагоне(ах) порядком, установленным в соответствии с действующим законодательством Республики Беларусь. На задержку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 xml:space="preserve">) работником станции оказания услуг составляется акт общей формы. Акт общей формы со стороны Отделения подписывается работником станции оказания услуг и работником БГТЛ, со стороны Клиента – </w:t>
      </w:r>
      <w:r w:rsidRPr="00FE4743">
        <w:rPr>
          <w:sz w:val="28"/>
          <w:szCs w:val="28"/>
        </w:rPr>
        <w:lastRenderedPageBreak/>
        <w:t>его уполномоченным представителем. Один экземпляр акта общей формы предоставляется Клиенту.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4.4. В случае технологических затруднений в работе Отделения, из-за н</w:t>
      </w:r>
      <w:proofErr w:type="gramStart"/>
      <w:r w:rsidRPr="00FE4743">
        <w:rPr>
          <w:sz w:val="28"/>
          <w:szCs w:val="28"/>
        </w:rPr>
        <w:t>е-</w:t>
      </w:r>
      <w:proofErr w:type="gramEnd"/>
      <w:r w:rsidRPr="00FE4743">
        <w:rPr>
          <w:sz w:val="28"/>
          <w:szCs w:val="28"/>
        </w:rPr>
        <w:t xml:space="preserve"> возможности осуществления выгрузки груза из подан</w:t>
      </w:r>
      <w:r w:rsidR="00116B4B" w:rsidRPr="00FE4743">
        <w:rPr>
          <w:sz w:val="28"/>
          <w:szCs w:val="28"/>
        </w:rPr>
        <w:t>ного(</w:t>
      </w:r>
      <w:proofErr w:type="spellStart"/>
      <w:r w:rsidR="00116B4B" w:rsidRPr="00FE4743">
        <w:rPr>
          <w:sz w:val="28"/>
          <w:szCs w:val="28"/>
        </w:rPr>
        <w:t>ых</w:t>
      </w:r>
      <w:proofErr w:type="spellEnd"/>
      <w:r w:rsidR="00116B4B" w:rsidRPr="00FE4743">
        <w:rPr>
          <w:sz w:val="28"/>
          <w:szCs w:val="28"/>
        </w:rPr>
        <w:t>) по фронту вагона(</w:t>
      </w:r>
      <w:proofErr w:type="spellStart"/>
      <w:r w:rsidR="00116B4B" w:rsidRPr="00FE4743">
        <w:rPr>
          <w:sz w:val="28"/>
          <w:szCs w:val="28"/>
        </w:rPr>
        <w:t>ов</w:t>
      </w:r>
      <w:proofErr w:type="spellEnd"/>
      <w:r w:rsidR="00116B4B" w:rsidRPr="00FE4743">
        <w:rPr>
          <w:sz w:val="28"/>
          <w:szCs w:val="28"/>
        </w:rPr>
        <w:t xml:space="preserve">) на площадку МОП станции оказания услуг, по </w:t>
      </w:r>
      <w:r w:rsidRPr="00FE4743">
        <w:rPr>
          <w:sz w:val="28"/>
          <w:szCs w:val="28"/>
        </w:rPr>
        <w:t>причинам зависящим от Клиента (несвоевременный вывоз груза, одновременное прибытие большой партии груза, дебиторская задолженность Клиента и т.д.), Клиент оплачивает Отделению стоимость работ по перемещению на свободное место на площадке МОП груза Клиента ранее выгруженного из вагон</w:t>
      </w:r>
      <w:proofErr w:type="gramStart"/>
      <w:r w:rsidRPr="00FE4743">
        <w:rPr>
          <w:sz w:val="28"/>
          <w:szCs w:val="28"/>
        </w:rPr>
        <w:t>а(</w:t>
      </w:r>
      <w:proofErr w:type="spellStart"/>
      <w:proofErr w:type="gramEnd"/>
      <w:r w:rsidRPr="00FE4743">
        <w:rPr>
          <w:sz w:val="28"/>
          <w:szCs w:val="28"/>
        </w:rPr>
        <w:t>ов</w:t>
      </w:r>
      <w:proofErr w:type="spellEnd"/>
      <w:r w:rsidRPr="00FE4743">
        <w:rPr>
          <w:sz w:val="28"/>
          <w:szCs w:val="28"/>
        </w:rPr>
        <w:t xml:space="preserve">), с целью освобождения места у механизма для выгрузки новой партии груза, по тарифам, установленным в соответствии с Прейскурантом тарифов, как за одну </w:t>
      </w:r>
      <w:proofErr w:type="spellStart"/>
      <w:r w:rsidRPr="00FE4743">
        <w:rPr>
          <w:sz w:val="28"/>
          <w:szCs w:val="28"/>
        </w:rPr>
        <w:t>тонно-операцию</w:t>
      </w:r>
      <w:proofErr w:type="spellEnd"/>
      <w:r w:rsidRPr="00FE4743">
        <w:rPr>
          <w:sz w:val="28"/>
          <w:szCs w:val="28"/>
        </w:rPr>
        <w:t xml:space="preserve">. О необходимости оказания данных услуг работник БГТЛ ставит в известность работника станции оказания услуг, который в свою очередь до оказания услуг информирует Клиента. </w:t>
      </w:r>
      <w:proofErr w:type="gramStart"/>
      <w:r w:rsidRPr="00FE4743">
        <w:rPr>
          <w:sz w:val="28"/>
          <w:szCs w:val="28"/>
        </w:rPr>
        <w:t>Факт об</w:t>
      </w:r>
      <w:proofErr w:type="gramEnd"/>
      <w:r w:rsidRPr="00FE4743">
        <w:rPr>
          <w:sz w:val="28"/>
          <w:szCs w:val="28"/>
        </w:rPr>
        <w:t xml:space="preserve"> оказанных услугах оформляется нарядом формы ФТУ-75, который подписывается работником БГТЛ и Клиентом.</w:t>
      </w:r>
    </w:p>
    <w:p w:rsidR="00564AA0" w:rsidRPr="00FE4743" w:rsidRDefault="00564AA0" w:rsidP="00564AA0">
      <w:pPr>
        <w:ind w:firstLine="709"/>
        <w:jc w:val="both"/>
        <w:rPr>
          <w:sz w:val="28"/>
          <w:szCs w:val="28"/>
        </w:rPr>
      </w:pPr>
      <w:r w:rsidRPr="00FE4743">
        <w:rPr>
          <w:sz w:val="28"/>
          <w:szCs w:val="28"/>
        </w:rPr>
        <w:t>5. Настоящее дополнительное соглашение действует с момента заключения и до окончания срока действия Договора об организации комплексного транспортного об</w:t>
      </w:r>
      <w:r w:rsidR="00500666" w:rsidRPr="00FE4743">
        <w:rPr>
          <w:sz w:val="28"/>
          <w:szCs w:val="28"/>
        </w:rPr>
        <w:t>служивания.</w:t>
      </w:r>
    </w:p>
    <w:p w:rsidR="00564AA0" w:rsidRPr="00FE4743" w:rsidRDefault="00564AA0" w:rsidP="003804D0">
      <w:pPr>
        <w:spacing w:before="20"/>
        <w:ind w:left="40"/>
        <w:rPr>
          <w:spacing w:val="-10"/>
          <w:sz w:val="28"/>
          <w:szCs w:val="28"/>
        </w:rPr>
      </w:pPr>
    </w:p>
    <w:p w:rsidR="00500666" w:rsidRPr="00FE4743" w:rsidRDefault="00500666" w:rsidP="00564AA0">
      <w:pPr>
        <w:spacing w:before="20"/>
        <w:ind w:left="40"/>
        <w:jc w:val="center"/>
        <w:rPr>
          <w:spacing w:val="-10"/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4608"/>
        <w:gridCol w:w="360"/>
        <w:gridCol w:w="4680"/>
      </w:tblGrid>
      <w:tr w:rsidR="00564AA0" w:rsidRPr="00FE4743" w:rsidTr="00D270DA">
        <w:trPr>
          <w:jc w:val="center"/>
        </w:trPr>
        <w:tc>
          <w:tcPr>
            <w:tcW w:w="4608" w:type="dxa"/>
            <w:shd w:val="clear" w:color="auto" w:fill="auto"/>
          </w:tcPr>
          <w:p w:rsidR="00564AA0" w:rsidRPr="00FE4743" w:rsidRDefault="00564AA0" w:rsidP="00564AA0">
            <w:pPr>
              <w:jc w:val="center"/>
              <w:rPr>
                <w:sz w:val="28"/>
                <w:szCs w:val="28"/>
              </w:rPr>
            </w:pPr>
            <w:r w:rsidRPr="00FE4743">
              <w:rPr>
                <w:spacing w:val="-10"/>
                <w:sz w:val="28"/>
                <w:szCs w:val="28"/>
              </w:rPr>
              <w:t>Отделение</w:t>
            </w:r>
          </w:p>
        </w:tc>
        <w:tc>
          <w:tcPr>
            <w:tcW w:w="360" w:type="dxa"/>
            <w:shd w:val="clear" w:color="auto" w:fill="auto"/>
          </w:tcPr>
          <w:p w:rsidR="00564AA0" w:rsidRPr="00FE4743" w:rsidRDefault="00564AA0" w:rsidP="00564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64AA0" w:rsidRPr="00FE4743" w:rsidRDefault="00564AA0" w:rsidP="00564AA0">
            <w:pPr>
              <w:jc w:val="center"/>
              <w:rPr>
                <w:sz w:val="28"/>
                <w:szCs w:val="28"/>
              </w:rPr>
            </w:pPr>
            <w:r w:rsidRPr="00FE4743">
              <w:rPr>
                <w:spacing w:val="-10"/>
                <w:sz w:val="28"/>
                <w:szCs w:val="28"/>
              </w:rPr>
              <w:t>Клиен</w:t>
            </w:r>
            <w:r w:rsidR="003804D0" w:rsidRPr="00FE4743">
              <w:rPr>
                <w:spacing w:val="-10"/>
                <w:sz w:val="28"/>
                <w:szCs w:val="28"/>
              </w:rPr>
              <w:t>т</w:t>
            </w:r>
          </w:p>
        </w:tc>
      </w:tr>
      <w:tr w:rsidR="00564AA0" w:rsidRPr="00FE4743" w:rsidTr="00D270DA">
        <w:trPr>
          <w:jc w:val="center"/>
        </w:trPr>
        <w:tc>
          <w:tcPr>
            <w:tcW w:w="4608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</w:tc>
      </w:tr>
      <w:tr w:rsidR="00564AA0" w:rsidRPr="00FE4743" w:rsidTr="00D270DA">
        <w:trPr>
          <w:jc w:val="center"/>
        </w:trPr>
        <w:tc>
          <w:tcPr>
            <w:tcW w:w="4608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 xml:space="preserve"> __________________________</w:t>
            </w:r>
          </w:p>
          <w:p w:rsidR="00564AA0" w:rsidRPr="00FE4743" w:rsidRDefault="00564AA0" w:rsidP="00564AA0">
            <w:pPr>
              <w:jc w:val="center"/>
              <w:rPr>
                <w:i/>
                <w:sz w:val="18"/>
                <w:szCs w:val="18"/>
              </w:rPr>
            </w:pPr>
            <w:r w:rsidRPr="00FE4743">
              <w:rPr>
                <w:i/>
                <w:sz w:val="18"/>
                <w:szCs w:val="18"/>
              </w:rPr>
              <w:t>(должность)</w:t>
            </w:r>
          </w:p>
          <w:p w:rsidR="00564AA0" w:rsidRPr="00FE4743" w:rsidRDefault="00564AA0" w:rsidP="00564A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>_____________________________</w:t>
            </w:r>
          </w:p>
          <w:p w:rsidR="00564AA0" w:rsidRPr="00FE4743" w:rsidRDefault="00564AA0" w:rsidP="00564AA0">
            <w:pPr>
              <w:jc w:val="center"/>
              <w:rPr>
                <w:i/>
                <w:sz w:val="18"/>
                <w:szCs w:val="18"/>
              </w:rPr>
            </w:pPr>
            <w:r w:rsidRPr="00FE4743">
              <w:rPr>
                <w:i/>
                <w:sz w:val="18"/>
                <w:szCs w:val="18"/>
              </w:rPr>
              <w:t>(должность)</w:t>
            </w:r>
          </w:p>
        </w:tc>
      </w:tr>
      <w:tr w:rsidR="00564AA0" w:rsidRPr="00FE4743" w:rsidTr="00D270DA">
        <w:trPr>
          <w:jc w:val="center"/>
        </w:trPr>
        <w:tc>
          <w:tcPr>
            <w:tcW w:w="4608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 xml:space="preserve"> ___________/______________</w:t>
            </w:r>
          </w:p>
          <w:p w:rsidR="00564AA0" w:rsidRPr="00FE4743" w:rsidRDefault="00564AA0" w:rsidP="00564AA0">
            <w:pPr>
              <w:rPr>
                <w:sz w:val="18"/>
                <w:szCs w:val="18"/>
              </w:rPr>
            </w:pPr>
            <w:r w:rsidRPr="00FE4743">
              <w:rPr>
                <w:sz w:val="18"/>
                <w:szCs w:val="18"/>
              </w:rPr>
              <w:t xml:space="preserve">       (подпись)          (инициалы, фамилия)</w:t>
            </w:r>
          </w:p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 xml:space="preserve">  ___________/_________________</w:t>
            </w:r>
          </w:p>
          <w:p w:rsidR="00564AA0" w:rsidRPr="00FE4743" w:rsidRDefault="00564AA0" w:rsidP="00564AA0">
            <w:pPr>
              <w:rPr>
                <w:sz w:val="18"/>
                <w:szCs w:val="18"/>
              </w:rPr>
            </w:pPr>
            <w:r w:rsidRPr="00FE4743">
              <w:rPr>
                <w:sz w:val="18"/>
                <w:szCs w:val="18"/>
              </w:rPr>
              <w:t xml:space="preserve">      (подпись)               (инициалы, фамилия)</w:t>
            </w:r>
          </w:p>
          <w:p w:rsidR="00564AA0" w:rsidRPr="00FE4743" w:rsidRDefault="00564AA0" w:rsidP="00564AA0">
            <w:pPr>
              <w:rPr>
                <w:sz w:val="28"/>
                <w:szCs w:val="28"/>
              </w:rPr>
            </w:pPr>
          </w:p>
          <w:p w:rsidR="00564AA0" w:rsidRPr="00FE4743" w:rsidRDefault="00564AA0" w:rsidP="00564AA0">
            <w:pPr>
              <w:rPr>
                <w:sz w:val="28"/>
                <w:szCs w:val="28"/>
              </w:rPr>
            </w:pPr>
            <w:r w:rsidRPr="00FE4743">
              <w:rPr>
                <w:sz w:val="28"/>
                <w:szCs w:val="28"/>
              </w:rPr>
              <w:t>М.П.</w:t>
            </w:r>
          </w:p>
        </w:tc>
      </w:tr>
    </w:tbl>
    <w:p w:rsidR="00564AA0" w:rsidRPr="00FE4743" w:rsidRDefault="00564AA0" w:rsidP="0081443F">
      <w:pPr>
        <w:rPr>
          <w:sz w:val="28"/>
          <w:szCs w:val="28"/>
        </w:rPr>
      </w:pPr>
    </w:p>
    <w:sectPr w:rsidR="00564AA0" w:rsidRPr="00FE4743" w:rsidSect="0081443F">
      <w:type w:val="continuous"/>
      <w:pgSz w:w="11907" w:h="16839" w:code="9"/>
      <w:pgMar w:top="1134" w:right="567" w:bottom="1134" w:left="1701" w:header="720" w:footer="720" w:gutter="0"/>
      <w:pgNumType w:start="1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CE" w:rsidRDefault="007108CE" w:rsidP="00FE4743">
      <w:r>
        <w:separator/>
      </w:r>
    </w:p>
  </w:endnote>
  <w:endnote w:type="continuationSeparator" w:id="0">
    <w:p w:rsidR="007108CE" w:rsidRDefault="007108CE" w:rsidP="00FE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CE" w:rsidRDefault="007108CE" w:rsidP="00FE4743">
      <w:r>
        <w:separator/>
      </w:r>
    </w:p>
  </w:footnote>
  <w:footnote w:type="continuationSeparator" w:id="0">
    <w:p w:rsidR="007108CE" w:rsidRDefault="007108CE" w:rsidP="00FE4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A0"/>
    <w:rsid w:val="000149C4"/>
    <w:rsid w:val="00116B4B"/>
    <w:rsid w:val="00202189"/>
    <w:rsid w:val="00255251"/>
    <w:rsid w:val="00295B12"/>
    <w:rsid w:val="003804D0"/>
    <w:rsid w:val="00386AFB"/>
    <w:rsid w:val="003A1279"/>
    <w:rsid w:val="003E4579"/>
    <w:rsid w:val="004C5F2D"/>
    <w:rsid w:val="00500666"/>
    <w:rsid w:val="00564AA0"/>
    <w:rsid w:val="00582165"/>
    <w:rsid w:val="005A4551"/>
    <w:rsid w:val="005F59B7"/>
    <w:rsid w:val="006307D5"/>
    <w:rsid w:val="007108CE"/>
    <w:rsid w:val="0081443F"/>
    <w:rsid w:val="008D221A"/>
    <w:rsid w:val="00965F19"/>
    <w:rsid w:val="0098244D"/>
    <w:rsid w:val="00AA41B2"/>
    <w:rsid w:val="00BA61E3"/>
    <w:rsid w:val="00D4617F"/>
    <w:rsid w:val="00D65E21"/>
    <w:rsid w:val="00ED0CF8"/>
    <w:rsid w:val="00F04CC9"/>
    <w:rsid w:val="00FB2AAD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64AA0"/>
    <w:pPr>
      <w:widowControl w:val="0"/>
      <w:spacing w:after="0" w:line="240" w:lineRule="auto"/>
      <w:ind w:left="368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RailWay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2019-07-18T10:05:00Z</cp:lastPrinted>
  <dcterms:created xsi:type="dcterms:W3CDTF">2019-08-01T08:09:00Z</dcterms:created>
  <dcterms:modified xsi:type="dcterms:W3CDTF">2019-08-01T08:09:00Z</dcterms:modified>
</cp:coreProperties>
</file>